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2022年/ 2023年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253.2pt;z-index:251668480;mso-width-relative:page;mso-height-relative:page;" filled="f" stroked="f" coordsize="21600,21600" o:gfxdata="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G8sf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2022年/ 2023年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アクティブに移動運用し　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アクティブに移動運用し　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2023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2023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5C21B24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